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3" w:rsidRPr="0087297C" w:rsidRDefault="00BD0DB3" w:rsidP="001011B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87297C">
        <w:rPr>
          <w:b/>
          <w:sz w:val="28"/>
          <w:szCs w:val="28"/>
          <w:lang w:val="pl-PL"/>
        </w:rPr>
        <w:t>Karta warunków realizacji przedmiotu</w:t>
      </w:r>
    </w:p>
    <w:p w:rsidR="00BD0DB3" w:rsidRPr="00B90B12" w:rsidRDefault="00BD0DB3" w:rsidP="007D7676">
      <w:pPr>
        <w:jc w:val="center"/>
        <w:rPr>
          <w:sz w:val="20"/>
          <w:szCs w:val="20"/>
          <w:lang w:val="pl-PL"/>
        </w:rPr>
      </w:pPr>
      <w:r w:rsidRPr="0087297C">
        <w:rPr>
          <w:b/>
          <w:sz w:val="28"/>
          <w:szCs w:val="28"/>
          <w:lang w:val="pl-PL"/>
        </w:rPr>
        <w:t>ob</w:t>
      </w:r>
      <w:r>
        <w:rPr>
          <w:b/>
          <w:sz w:val="28"/>
          <w:szCs w:val="28"/>
          <w:lang w:val="pl-PL"/>
        </w:rPr>
        <w:t>o</w:t>
      </w:r>
      <w:r w:rsidRPr="0087297C">
        <w:rPr>
          <w:b/>
          <w:sz w:val="28"/>
          <w:szCs w:val="28"/>
          <w:lang w:val="pl-PL"/>
        </w:rPr>
        <w:t>wiązujących w roku akademickim 2019/2020</w:t>
      </w:r>
      <w:r>
        <w:rPr>
          <w:b/>
          <w:sz w:val="28"/>
          <w:szCs w:val="28"/>
          <w:lang w:val="pl-PL"/>
        </w:rPr>
        <w:br/>
      </w:r>
      <w:r w:rsidRPr="00B90B12">
        <w:rPr>
          <w:sz w:val="20"/>
          <w:szCs w:val="20"/>
          <w:lang w:val="pl-PL"/>
        </w:rPr>
        <w:t>na podstawie §14 ust.2. Regulaminu studiów w Politechnice Łódzkiej</w:t>
      </w:r>
      <w:r>
        <w:rPr>
          <w:sz w:val="20"/>
          <w:szCs w:val="20"/>
          <w:lang w:val="pl-PL"/>
        </w:rPr>
        <w:t xml:space="preserve"> -</w:t>
      </w:r>
      <w:r w:rsidRPr="00B90B12">
        <w:rPr>
          <w:sz w:val="20"/>
          <w:szCs w:val="20"/>
          <w:lang w:val="pl-PL"/>
        </w:rPr>
        <w:t xml:space="preserve"> Uchwała Nr 6/2019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Senatu Politechniki Łódzkiej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z dnia 24 kwietnia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717"/>
        <w:gridCol w:w="816"/>
        <w:gridCol w:w="904"/>
        <w:gridCol w:w="739"/>
        <w:gridCol w:w="717"/>
        <w:gridCol w:w="1160"/>
        <w:gridCol w:w="721"/>
        <w:gridCol w:w="718"/>
      </w:tblGrid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Program kształcenia</w:t>
            </w:r>
          </w:p>
        </w:tc>
        <w:tc>
          <w:tcPr>
            <w:tcW w:w="6492" w:type="dxa"/>
            <w:gridSpan w:val="8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Poziom studiów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6B4508">
              <w:rPr>
                <w:lang w:val="pl-PL"/>
              </w:rPr>
              <w:t>1</w:t>
            </w:r>
          </w:p>
        </w:tc>
        <w:tc>
          <w:tcPr>
            <w:tcW w:w="1720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Tryb studiów</w:t>
            </w:r>
          </w:p>
        </w:tc>
        <w:tc>
          <w:tcPr>
            <w:tcW w:w="1456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stacjonarne</w:t>
            </w:r>
          </w:p>
        </w:tc>
        <w:tc>
          <w:tcPr>
            <w:tcW w:w="1881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Rok studiów</w:t>
            </w:r>
          </w:p>
        </w:tc>
        <w:tc>
          <w:tcPr>
            <w:tcW w:w="718" w:type="dxa"/>
          </w:tcPr>
          <w:p w:rsidR="00BD0DB3" w:rsidRPr="008925DE" w:rsidRDefault="00D97642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 xml:space="preserve">Nazwa przedmiotu </w:t>
            </w:r>
          </w:p>
        </w:tc>
        <w:tc>
          <w:tcPr>
            <w:tcW w:w="6492" w:type="dxa"/>
            <w:gridSpan w:val="8"/>
          </w:tcPr>
          <w:p w:rsidR="00071197" w:rsidRPr="00EE6F7F" w:rsidRDefault="006B4508" w:rsidP="00071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cs="Courier New"/>
                <w:lang w:val="pl-PL" w:eastAsia="pl-PL"/>
              </w:rPr>
            </w:pPr>
            <w:r>
              <w:rPr>
                <w:rFonts w:cs="Courier New"/>
                <w:lang w:val="pl-PL" w:eastAsia="pl-PL"/>
              </w:rPr>
              <w:t>Techniki membranowe</w:t>
            </w:r>
          </w:p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Kod przedmiotu</w:t>
            </w:r>
          </w:p>
        </w:tc>
        <w:tc>
          <w:tcPr>
            <w:tcW w:w="1533" w:type="dxa"/>
            <w:gridSpan w:val="2"/>
          </w:tcPr>
          <w:p w:rsidR="00BD0DB3" w:rsidRPr="00D97642" w:rsidRDefault="00A17389" w:rsidP="00381D4C">
            <w:pPr>
              <w:spacing w:before="0" w:after="0"/>
              <w:jc w:val="center"/>
              <w:rPr>
                <w:lang w:val="pl-PL"/>
              </w:rPr>
            </w:pPr>
            <w:hyperlink r:id="rId4" w:history="1">
              <w:r w:rsidR="00EE6F7F" w:rsidRPr="00D97642">
                <w:rPr>
                  <w:rStyle w:val="Hipercze"/>
                </w:rPr>
                <w:t xml:space="preserve">10 </w:t>
              </w:r>
              <w:r w:rsidR="006B4508" w:rsidRPr="00D97642">
                <w:rPr>
                  <w:rStyle w:val="Hipercze"/>
                </w:rPr>
                <w:t xml:space="preserve">15 </w:t>
              </w:r>
              <w:r w:rsidR="00381D4C">
                <w:rPr>
                  <w:rStyle w:val="Hipercze"/>
                </w:rPr>
                <w:t>1405</w:t>
              </w:r>
              <w:r w:rsidR="00EE6F7F" w:rsidRPr="00D97642">
                <w:rPr>
                  <w:rStyle w:val="Hipercze"/>
                </w:rPr>
                <w:t xml:space="preserve"> 00</w:t>
              </w:r>
            </w:hyperlink>
          </w:p>
        </w:tc>
        <w:tc>
          <w:tcPr>
            <w:tcW w:w="1643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Liczba punktów ECTS: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Forma zajęć:</w:t>
            </w:r>
          </w:p>
        </w:tc>
        <w:tc>
          <w:tcPr>
            <w:tcW w:w="1439" w:type="dxa"/>
            <w:gridSpan w:val="2"/>
          </w:tcPr>
          <w:p w:rsidR="00BD0DB3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Wykłady</w:t>
            </w:r>
          </w:p>
          <w:p w:rsidR="00F226CF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Laboratorium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Prowadzący zajęcia:</w:t>
            </w:r>
          </w:p>
        </w:tc>
        <w:tc>
          <w:tcPr>
            <w:tcW w:w="3893" w:type="dxa"/>
            <w:gridSpan w:val="5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 w:rsidRPr="00F226CF">
              <w:t>Prof. PŁ</w:t>
            </w:r>
            <w:r w:rsidR="00356F27"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Data ogłoszenia</w:t>
            </w:r>
          </w:p>
        </w:tc>
        <w:tc>
          <w:tcPr>
            <w:tcW w:w="1439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30.09.2019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1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Obowiązujące zasady odbywania zajęć dydaktycznych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a). zasady uczestnictwa w zajęciach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757F5E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Zajęcia obowiązkowe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b).zasady usprawiedliwiania nieobecności na obowiązkowych formach zajęć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Nieobecność na 3 godz. wykładu nie musi być usprawiedliwiona.</w:t>
            </w:r>
          </w:p>
          <w:p w:rsidR="00BD0DB3" w:rsidRPr="008925DE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Obecność na laboratorium</w:t>
            </w:r>
            <w:r w:rsidR="006B4508">
              <w:rPr>
                <w:lang w:val="pl-PL"/>
              </w:rPr>
              <w:t xml:space="preserve"> jest obowiązkowa</w:t>
            </w:r>
            <w:r w:rsidR="00757F5E">
              <w:rPr>
                <w:lang w:val="pl-PL"/>
              </w:rPr>
              <w:t>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c). warunki odrabiania nieobecności na obowiązkowych zajęciach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757F5E" w:rsidRPr="008925DE" w:rsidRDefault="00757F5E" w:rsidP="00757F5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Uzupełnienie 1 brakującego ćwiczenia laboratoryjnego można warunkowo odrobić w terminie ustalonym z prowadzącym, jeśli nieobecność jest usprawiedliwiona.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2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Warunki i trybu przystępowania i uzyskiwania zaliczenia zajęć</w:t>
            </w:r>
            <w:r w:rsidRPr="008925DE">
              <w:rPr>
                <w:lang w:val="pl-PL"/>
              </w:rPr>
              <w:t xml:space="preserve"> 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 xml:space="preserve">a). formy i metody weryfikacji efektów uczenia się  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Test </w:t>
            </w:r>
            <w:r w:rsidR="00D97642">
              <w:rPr>
                <w:lang w:val="pl-PL"/>
              </w:rPr>
              <w:t xml:space="preserve">lub kolokwium </w:t>
            </w:r>
            <w:r>
              <w:rPr>
                <w:lang w:val="pl-PL"/>
              </w:rPr>
              <w:t>z materiału wykładowego.</w:t>
            </w:r>
          </w:p>
          <w:p w:rsidR="00BD0DB3" w:rsidRPr="008925DE" w:rsidRDefault="00D97642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Kolokwium wejściowe i ocena ze s</w:t>
            </w:r>
            <w:r w:rsidR="00F226CF">
              <w:rPr>
                <w:lang w:val="pl-PL"/>
              </w:rPr>
              <w:t xml:space="preserve">prawozdania </w:t>
            </w:r>
            <w:r>
              <w:rPr>
                <w:lang w:val="pl-PL"/>
              </w:rPr>
              <w:t>i</w:t>
            </w:r>
            <w:r w:rsidR="00F226CF">
              <w:rPr>
                <w:lang w:val="pl-PL"/>
              </w:rPr>
              <w:t xml:space="preserve"> wykonania ćwiczeń laboratoryjnych.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 liczba terminów zaliczeń w semestrze realizacji przedmiotu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Student może zaliczać test z wykładów w trzech terminach.</w:t>
            </w:r>
          </w:p>
          <w:p w:rsidR="00BD0DB3" w:rsidRPr="008925DE" w:rsidRDefault="00757F5E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Jeden termin uzupełnienia ćwiczeń laboratoryjnych - warunkowo.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3.Wymagania uzyskania pozytywnego zaliczenia przedmiotu i zasady ustalania ocen cząstkowych ze składowych form zajęć i oceny końcowej z przedmiotu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Pozytywna ocena z testu.</w:t>
            </w:r>
          </w:p>
          <w:p w:rsidR="00BD0DB3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Zaliczenie wszystkich </w:t>
            </w:r>
            <w:r w:rsidR="00D97642">
              <w:rPr>
                <w:lang w:val="pl-PL"/>
              </w:rPr>
              <w:t xml:space="preserve">kolokwiów wejściowych i </w:t>
            </w:r>
            <w:r>
              <w:rPr>
                <w:lang w:val="pl-PL"/>
              </w:rPr>
              <w:t xml:space="preserve">sprawozdań z </w:t>
            </w:r>
            <w:r w:rsidR="00D97642">
              <w:rPr>
                <w:lang w:val="pl-PL"/>
              </w:rPr>
              <w:t>ćwiczeń laboratoryjnych</w:t>
            </w:r>
            <w:r>
              <w:rPr>
                <w:lang w:val="pl-PL"/>
              </w:rPr>
              <w:t>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4.Pozostałe warunki uzyskania zaliczenia przedmiotu</w:t>
            </w:r>
          </w:p>
        </w:tc>
      </w:tr>
      <w:tr w:rsidR="00BD0DB3" w:rsidRPr="00757F5E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Ocena końcowa </w:t>
            </w:r>
            <w:r w:rsidR="00D97642">
              <w:rPr>
                <w:lang w:val="pl-PL"/>
              </w:rPr>
              <w:t>6</w:t>
            </w:r>
            <w:r>
              <w:rPr>
                <w:lang w:val="pl-PL"/>
              </w:rPr>
              <w:t xml:space="preserve">0% wynik testu + </w:t>
            </w:r>
            <w:r w:rsidR="00D97642">
              <w:rPr>
                <w:lang w:val="pl-PL"/>
              </w:rPr>
              <w:t>4</w:t>
            </w:r>
            <w:r>
              <w:rPr>
                <w:lang w:val="pl-PL"/>
              </w:rPr>
              <w:t>0% średnia ocena z laboratorium.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5. Terminy konsultacji</w:t>
            </w:r>
          </w:p>
        </w:tc>
      </w:tr>
      <w:tr w:rsidR="00757F5E" w:rsidRPr="001011BD" w:rsidTr="008925DE">
        <w:tc>
          <w:tcPr>
            <w:tcW w:w="9062" w:type="dxa"/>
            <w:gridSpan w:val="9"/>
          </w:tcPr>
          <w:p w:rsidR="00757F5E" w:rsidRPr="008925DE" w:rsidRDefault="00757F5E" w:rsidP="00D0242F">
            <w:pPr>
              <w:spacing w:before="0" w:after="0"/>
              <w:rPr>
                <w:lang w:val="pl-PL"/>
              </w:rPr>
            </w:pPr>
            <w:r w:rsidRPr="00F226CF">
              <w:t>Prof. PŁ</w:t>
            </w:r>
            <w:r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                               poniedziałek 12.15-14.00</w:t>
            </w:r>
          </w:p>
          <w:p w:rsidR="00757F5E" w:rsidRPr="008925DE" w:rsidRDefault="00757F5E" w:rsidP="00D0242F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Dr inż. Joanna Marszałek                                                   </w:t>
            </w:r>
          </w:p>
          <w:p w:rsidR="00757F5E" w:rsidRPr="008925DE" w:rsidRDefault="00757F5E" w:rsidP="00D0242F">
            <w:pPr>
              <w:spacing w:before="0" w:after="0"/>
              <w:rPr>
                <w:lang w:val="pl-PL"/>
              </w:rPr>
            </w:pPr>
          </w:p>
        </w:tc>
      </w:tr>
    </w:tbl>
    <w:p w:rsidR="00BD0DB3" w:rsidRPr="002B0CFB" w:rsidRDefault="00BD0DB3" w:rsidP="002B0CFB">
      <w:pPr>
        <w:spacing w:before="0" w:after="0"/>
        <w:rPr>
          <w:sz w:val="14"/>
          <w:lang w:val="pl-PL"/>
        </w:rPr>
      </w:pPr>
    </w:p>
    <w:sectPr w:rsidR="00BD0DB3" w:rsidRPr="002B0CFB" w:rsidSect="00EA56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1BD"/>
    <w:rsid w:val="00071197"/>
    <w:rsid w:val="0008725C"/>
    <w:rsid w:val="000D4CB2"/>
    <w:rsid w:val="001011BD"/>
    <w:rsid w:val="002B0CFB"/>
    <w:rsid w:val="00356F27"/>
    <w:rsid w:val="00381D4C"/>
    <w:rsid w:val="003F06C0"/>
    <w:rsid w:val="004B3794"/>
    <w:rsid w:val="006B4508"/>
    <w:rsid w:val="00757F5E"/>
    <w:rsid w:val="007A0B4A"/>
    <w:rsid w:val="007D7676"/>
    <w:rsid w:val="008648B8"/>
    <w:rsid w:val="0087297C"/>
    <w:rsid w:val="008925DE"/>
    <w:rsid w:val="009050E6"/>
    <w:rsid w:val="009E1550"/>
    <w:rsid w:val="00A17389"/>
    <w:rsid w:val="00B90B12"/>
    <w:rsid w:val="00BD0DB3"/>
    <w:rsid w:val="00D97642"/>
    <w:rsid w:val="00EA5678"/>
    <w:rsid w:val="00EE6F7F"/>
    <w:rsid w:val="00F2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locked="1"/>
    <w:lsdException w:name="Table Subtle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1BD"/>
    <w:pPr>
      <w:spacing w:before="120" w:after="120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1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1197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F2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y.p.lodz.pl/ectslabel-web/kierunekSiatka.jsp?l=pl&amp;w=in%C5%BCynieria%20chemiczna%20i%20biochemiczna&amp;pkId=1247&amp;p=6763&amp;stopien=studia%20drugiego%20stopnia&amp;tryb=studia%20stacjonarne&amp;v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warunków realizacji przedmiotu</vt:lpstr>
    </vt:vector>
  </TitlesOfParts>
  <Company/>
  <LinksUpToDate>false</LinksUpToDate>
  <CharactersWithSpaces>2253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https://programy.p.lodz.pl/ectslabel-web/kierunekSiatka.jsp?l=pl&amp;w=in%C5%BCynieria%20chemiczna%20i%20biochemiczna&amp;pkId=1247&amp;p=6763&amp;stopien=studia%20drugiego%20stopnia&amp;tryb=studia%20stacjonarne&amp;v=3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warunków realizacji przedmiotu</dc:title>
  <dc:creator>user</dc:creator>
  <cp:lastModifiedBy>dz-w10-4</cp:lastModifiedBy>
  <cp:revision>2</cp:revision>
  <cp:lastPrinted>2019-09-26T17:49:00Z</cp:lastPrinted>
  <dcterms:created xsi:type="dcterms:W3CDTF">2019-10-16T07:03:00Z</dcterms:created>
  <dcterms:modified xsi:type="dcterms:W3CDTF">2019-10-16T07:03:00Z</dcterms:modified>
</cp:coreProperties>
</file>